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 xml:space="preserve">Tool: Getting the timing right for adolescents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16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16"/>
        <w:tblGridChange w:id="0">
          <w:tblGrid>
            <w:gridCol w:w="8516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vAlign w:val="top"/>
          </w:tcPr>
          <w:p w:rsidR="00000000" w:rsidDel="00000000" w:rsidP="00000000" w:rsidRDefault="00000000" w:rsidRPr="00000000" w14:paraId="00000004">
            <w:pPr>
              <w:spacing w:after="240" w:line="276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br w:type="textWrapping"/>
              <w:t xml:space="preserve">Use the questions below to guide you with organizing activities at times that suit adolescents and don’t present barriers to their involvement in your intervention.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240" w:line="276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How do adolescent girls and boys spend their time? 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When do adolescent girls and boys go to school, socialise, work, pray, relax, eat meals, do household chores, mind siblings or their own children?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Are there days of the week when adolescents have more or less free time?  (For example, weekends).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When do adolescents have free time when they aren’t busy with other activities?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Are there times of the day and week when adolescents are unoccupied and bored?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Are there particular times when adolescents engage in unhealthy or unsafe behaviours such as playing in the street, swimming in unsafe areas, smoking, drinking alcohol or taking drugs?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Are there times of the day when adolescents wait for long periods of time for work, for food or non-food-item distribution, at washrooms or showers, or at community kitchens?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76" w:lineRule="auto"/>
              <w:ind w:left="357" w:right="0" w:hanging="357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If adolescents have limited free time to participate in activities, is it possible to arrange a break for them to participate in Adolescent Kit activities by talking to their parents, family members or others?</w:t>
            </w:r>
          </w:p>
          <w:p w:rsidR="00000000" w:rsidDel="00000000" w:rsidP="00000000" w:rsidRDefault="00000000" w:rsidRPr="00000000" w14:paraId="0000000E">
            <w:pPr>
              <w:spacing w:after="240" w:line="276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57" w:hanging="357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